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49" w:rsidRDefault="008D7449" w:rsidP="00E85142">
      <w:pPr>
        <w:shd w:val="clear" w:color="auto" w:fill="FFFFFF"/>
        <w:tabs>
          <w:tab w:val="left" w:pos="432"/>
          <w:tab w:val="left" w:pos="9923"/>
        </w:tabs>
        <w:spacing w:line="259" w:lineRule="exact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8D7449" w:rsidRPr="0020191D" w:rsidRDefault="008D7449" w:rsidP="008D7449">
      <w:pPr>
        <w:pStyle w:val="ConsPlusTitle"/>
        <w:tabs>
          <w:tab w:val="left" w:pos="3090"/>
        </w:tabs>
        <w:jc w:val="center"/>
        <w:rPr>
          <w:b w:val="0"/>
          <w:sz w:val="26"/>
          <w:szCs w:val="26"/>
        </w:rPr>
      </w:pPr>
      <w:r w:rsidRPr="0020191D">
        <w:rPr>
          <w:b w:val="0"/>
          <w:sz w:val="26"/>
          <w:szCs w:val="26"/>
        </w:rPr>
        <w:t xml:space="preserve">ДОПОЛНИТЕЛЬНОЕ СОГЛАШЕНИЕ </w:t>
      </w:r>
    </w:p>
    <w:p w:rsidR="008D7449" w:rsidRDefault="008D7449" w:rsidP="008D7449">
      <w:pPr>
        <w:pStyle w:val="ConsPlusTitle"/>
        <w:tabs>
          <w:tab w:val="left" w:pos="3090"/>
        </w:tabs>
        <w:jc w:val="center"/>
        <w:rPr>
          <w:b w:val="0"/>
          <w:sz w:val="26"/>
          <w:szCs w:val="26"/>
        </w:rPr>
      </w:pPr>
      <w:r w:rsidRPr="0020191D">
        <w:rPr>
          <w:b w:val="0"/>
          <w:sz w:val="26"/>
          <w:szCs w:val="26"/>
        </w:rPr>
        <w:t xml:space="preserve">к соглашению от </w:t>
      </w:r>
      <w:r>
        <w:rPr>
          <w:b w:val="0"/>
          <w:sz w:val="26"/>
          <w:szCs w:val="26"/>
        </w:rPr>
        <w:t>24</w:t>
      </w:r>
      <w:r w:rsidRPr="0020191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декабря</w:t>
      </w:r>
      <w:r w:rsidRPr="0020191D">
        <w:rPr>
          <w:b w:val="0"/>
          <w:sz w:val="26"/>
          <w:szCs w:val="26"/>
        </w:rPr>
        <w:t xml:space="preserve"> 20</w:t>
      </w:r>
      <w:r>
        <w:rPr>
          <w:b w:val="0"/>
          <w:sz w:val="26"/>
          <w:szCs w:val="26"/>
        </w:rPr>
        <w:t>20</w:t>
      </w:r>
      <w:r w:rsidRPr="0020191D">
        <w:rPr>
          <w:b w:val="0"/>
          <w:sz w:val="26"/>
          <w:szCs w:val="26"/>
        </w:rPr>
        <w:t xml:space="preserve"> года между администрацией сельского поселения </w:t>
      </w:r>
      <w:r>
        <w:rPr>
          <w:b w:val="0"/>
          <w:sz w:val="26"/>
          <w:szCs w:val="26"/>
        </w:rPr>
        <w:t xml:space="preserve">Чуровское </w:t>
      </w:r>
      <w:r w:rsidRPr="0020191D">
        <w:rPr>
          <w:b w:val="0"/>
          <w:sz w:val="26"/>
          <w:szCs w:val="26"/>
        </w:rPr>
        <w:t xml:space="preserve">и Финансовым управлением Шекснинского муниципального района </w:t>
      </w:r>
    </w:p>
    <w:p w:rsidR="008D7449" w:rsidRDefault="008D7449" w:rsidP="008D7449">
      <w:pPr>
        <w:pStyle w:val="ConsPlusTitle"/>
        <w:tabs>
          <w:tab w:val="left" w:pos="3090"/>
        </w:tabs>
        <w:jc w:val="center"/>
        <w:rPr>
          <w:b w:val="0"/>
          <w:sz w:val="26"/>
          <w:szCs w:val="26"/>
        </w:rPr>
      </w:pPr>
      <w:r w:rsidRPr="0020191D">
        <w:rPr>
          <w:b w:val="0"/>
          <w:sz w:val="26"/>
          <w:szCs w:val="26"/>
        </w:rPr>
        <w:t xml:space="preserve">о передаче </w:t>
      </w:r>
      <w:r>
        <w:rPr>
          <w:b w:val="0"/>
          <w:sz w:val="26"/>
          <w:szCs w:val="26"/>
        </w:rPr>
        <w:t xml:space="preserve">части </w:t>
      </w:r>
      <w:r w:rsidRPr="0020191D">
        <w:rPr>
          <w:b w:val="0"/>
          <w:sz w:val="26"/>
          <w:szCs w:val="26"/>
        </w:rPr>
        <w:t xml:space="preserve">полномочий </w:t>
      </w:r>
    </w:p>
    <w:p w:rsidR="008D7449" w:rsidRDefault="008D7449" w:rsidP="008D7449">
      <w:pPr>
        <w:pStyle w:val="ConsPlusTitle"/>
        <w:tabs>
          <w:tab w:val="left" w:pos="3090"/>
        </w:tabs>
        <w:jc w:val="center"/>
        <w:rPr>
          <w:b w:val="0"/>
          <w:sz w:val="26"/>
          <w:szCs w:val="26"/>
        </w:rPr>
      </w:pPr>
    </w:p>
    <w:p w:rsidR="008D7449" w:rsidRDefault="008D7449" w:rsidP="008D7449">
      <w:pPr>
        <w:pStyle w:val="ConsPlusTitle"/>
        <w:tabs>
          <w:tab w:val="left" w:pos="309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п.Шексна                                                           «25» декабря 2021 года</w:t>
      </w:r>
    </w:p>
    <w:p w:rsidR="008D7449" w:rsidRDefault="008D7449" w:rsidP="008D7449">
      <w:pPr>
        <w:pStyle w:val="ConsPlusTitle"/>
        <w:tabs>
          <w:tab w:val="left" w:pos="3090"/>
        </w:tabs>
        <w:jc w:val="both"/>
        <w:rPr>
          <w:b w:val="0"/>
          <w:sz w:val="26"/>
          <w:szCs w:val="26"/>
        </w:rPr>
      </w:pPr>
    </w:p>
    <w:p w:rsidR="008D7449" w:rsidRDefault="008D7449" w:rsidP="008D7449">
      <w:pPr>
        <w:pStyle w:val="ConsPlusTitle"/>
        <w:tabs>
          <w:tab w:val="left" w:pos="3090"/>
        </w:tabs>
        <w:jc w:val="both"/>
        <w:rPr>
          <w:b w:val="0"/>
          <w:sz w:val="26"/>
          <w:szCs w:val="26"/>
        </w:rPr>
      </w:pPr>
    </w:p>
    <w:p w:rsidR="008D7449" w:rsidRPr="00514B4B" w:rsidRDefault="00AF2982" w:rsidP="008D74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4CC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6"/>
          <w:szCs w:val="26"/>
        </w:rPr>
        <w:t>Чуровское</w:t>
      </w:r>
      <w:r w:rsidRPr="008954CC">
        <w:rPr>
          <w:rFonts w:ascii="Times New Roman" w:hAnsi="Times New Roman" w:cs="Times New Roman"/>
          <w:sz w:val="26"/>
          <w:szCs w:val="26"/>
        </w:rPr>
        <w:t xml:space="preserve">, именуемая в дальнейшем «Администрация поселения» в лице Главы сельского поселения </w:t>
      </w:r>
      <w:r>
        <w:rPr>
          <w:rFonts w:ascii="Times New Roman" w:hAnsi="Times New Roman" w:cs="Times New Roman"/>
          <w:sz w:val="26"/>
          <w:szCs w:val="26"/>
        </w:rPr>
        <w:t>Быстровой Татьяны Николаевны</w:t>
      </w:r>
      <w:r w:rsidRPr="008954CC">
        <w:rPr>
          <w:rFonts w:ascii="Times New Roman" w:hAnsi="Times New Roman" w:cs="Times New Roman"/>
          <w:sz w:val="26"/>
          <w:szCs w:val="26"/>
        </w:rPr>
        <w:t>,  действующе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954CC">
        <w:rPr>
          <w:rFonts w:ascii="Times New Roman" w:hAnsi="Times New Roman" w:cs="Times New Roman"/>
          <w:sz w:val="26"/>
          <w:szCs w:val="26"/>
        </w:rPr>
        <w:t xml:space="preserve"> на основании Устава  поселения, с одной стороны и Финансовое управление Шекснинского муниципального района,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8954CC">
        <w:rPr>
          <w:rFonts w:ascii="Times New Roman" w:hAnsi="Times New Roman" w:cs="Times New Roman"/>
          <w:sz w:val="26"/>
          <w:szCs w:val="26"/>
        </w:rPr>
        <w:t>менуемое в дальнейшем «Финансовое управление» в лице начальника Серебряковой Елены Ивановны, действующего на основании Положения о Финансовом управлении Шекснинского муниципального района, с другой стороны, далее именуемые «Стороны», руководствуясь Федеральным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54CC">
        <w:rPr>
          <w:rFonts w:ascii="Times New Roman" w:hAnsi="Times New Roman" w:cs="Times New Roman"/>
          <w:sz w:val="26"/>
          <w:szCs w:val="26"/>
        </w:rPr>
        <w:t>законом от 06</w:t>
      </w:r>
      <w:r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8954CC">
        <w:rPr>
          <w:rFonts w:ascii="Times New Roman" w:hAnsi="Times New Roman" w:cs="Times New Roman"/>
          <w:sz w:val="26"/>
          <w:szCs w:val="26"/>
        </w:rPr>
        <w:t xml:space="preserve">2003 года № 131-ФЗ «Об общих принципах организации местного самоуправления в Российской Федерации», Бюджетным кодексом РФ, </w:t>
      </w:r>
      <w:r w:rsidRPr="00FB58F7">
        <w:rPr>
          <w:rFonts w:ascii="Times New Roman" w:hAnsi="Times New Roman" w:cs="Times New Roman"/>
          <w:sz w:val="26"/>
          <w:szCs w:val="26"/>
        </w:rPr>
        <w:t xml:space="preserve">решением Совета сельского поселения Чуровское от </w:t>
      </w:r>
      <w:r>
        <w:rPr>
          <w:rFonts w:ascii="Times New Roman" w:hAnsi="Times New Roman" w:cs="Times New Roman"/>
          <w:sz w:val="26"/>
          <w:szCs w:val="26"/>
        </w:rPr>
        <w:t xml:space="preserve">10 ноября </w:t>
      </w:r>
      <w:r w:rsidRPr="00FB58F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FB58F7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 xml:space="preserve">34 </w:t>
      </w:r>
      <w:r w:rsidRPr="008954CC">
        <w:rPr>
          <w:rFonts w:ascii="Times New Roman" w:hAnsi="Times New Roman" w:cs="Times New Roman"/>
          <w:sz w:val="26"/>
          <w:szCs w:val="26"/>
        </w:rPr>
        <w:t xml:space="preserve">«О передаче части полномочий поселения», решением Представительного Собрания Шекснинского муниципального района </w:t>
      </w:r>
      <w:r w:rsidRPr="00FB58F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26 ноября </w:t>
      </w:r>
      <w:r w:rsidRPr="00FB58F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B58F7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4D1A30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110</w:t>
      </w:r>
      <w:r w:rsidRPr="008954CC">
        <w:rPr>
          <w:rFonts w:ascii="Times New Roman" w:hAnsi="Times New Roman" w:cs="Times New Roman"/>
          <w:sz w:val="26"/>
          <w:szCs w:val="26"/>
        </w:rPr>
        <w:t xml:space="preserve"> «О принятии части полномочий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D7449">
        <w:rPr>
          <w:rFonts w:ascii="Times New Roman" w:hAnsi="Times New Roman" w:cs="Times New Roman"/>
          <w:sz w:val="26"/>
          <w:szCs w:val="26"/>
        </w:rPr>
        <w:t xml:space="preserve"> (с последующими изменениями и дополнениями)</w:t>
      </w:r>
      <w:r w:rsidR="008D7449" w:rsidRPr="008954CC">
        <w:rPr>
          <w:rFonts w:ascii="Times New Roman" w:hAnsi="Times New Roman" w:cs="Times New Roman"/>
          <w:sz w:val="26"/>
          <w:szCs w:val="26"/>
        </w:rPr>
        <w:t>, заключили</w:t>
      </w:r>
      <w:r w:rsidR="008D7449">
        <w:rPr>
          <w:rFonts w:ascii="Times New Roman" w:hAnsi="Times New Roman" w:cs="Times New Roman"/>
          <w:sz w:val="26"/>
          <w:szCs w:val="26"/>
        </w:rPr>
        <w:t xml:space="preserve"> </w:t>
      </w:r>
      <w:r w:rsidR="008D7449" w:rsidRPr="00514B4B">
        <w:rPr>
          <w:rFonts w:ascii="Times New Roman" w:hAnsi="Times New Roman" w:cs="Times New Roman"/>
          <w:sz w:val="26"/>
          <w:szCs w:val="26"/>
        </w:rPr>
        <w:t xml:space="preserve"> дополнительное соглашение о нижеследующем:</w:t>
      </w:r>
    </w:p>
    <w:p w:rsidR="008D7449" w:rsidRPr="00514B4B" w:rsidRDefault="008D7449" w:rsidP="008D744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7449" w:rsidRDefault="008D7449" w:rsidP="008D744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Абзацы 3 и 4 статьи 3 Соглашения изложить в новой редакции:</w:t>
      </w:r>
    </w:p>
    <w:p w:rsidR="008D7449" w:rsidRPr="00676483" w:rsidRDefault="008D7449" w:rsidP="008D7449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«Размер межбюджетных </w:t>
      </w:r>
      <w:r w:rsidRPr="00A82E94">
        <w:rPr>
          <w:rFonts w:ascii="Times New Roman" w:eastAsia="Times New Roman" w:hAnsi="Times New Roman" w:cs="Times New Roman"/>
          <w:sz w:val="26"/>
          <w:szCs w:val="26"/>
        </w:rPr>
        <w:t>трансфертов для осуществления Финансовым управлением полномочия, составляет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2021 год 105 864 (Сто пять тысяч восемьсот шестьдесят четыре) </w:t>
      </w:r>
      <w:r w:rsidRPr="00A82E94">
        <w:rPr>
          <w:rFonts w:ascii="Times New Roman" w:eastAsia="Times New Roman" w:hAnsi="Times New Roman" w:cs="Times New Roman"/>
          <w:sz w:val="26"/>
          <w:szCs w:val="26"/>
        </w:rPr>
        <w:t>руб</w:t>
      </w:r>
      <w:r>
        <w:rPr>
          <w:rFonts w:ascii="Times New Roman" w:eastAsia="Times New Roman" w:hAnsi="Times New Roman" w:cs="Times New Roman"/>
          <w:sz w:val="26"/>
          <w:szCs w:val="26"/>
        </w:rPr>
        <w:t>ля, на 2022 год 116 500 (Сто шестнадцать тысяч пятьсот) рублей согласно расчета, являющегося приложением к настоящему соглашению.</w:t>
      </w:r>
    </w:p>
    <w:p w:rsidR="008D7449" w:rsidRPr="008D5147" w:rsidRDefault="008D7449" w:rsidP="008D7449">
      <w:pPr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AA0302">
        <w:rPr>
          <w:rFonts w:ascii="Times New Roman" w:eastAsia="Times New Roman" w:hAnsi="Times New Roman" w:cs="Times New Roman"/>
          <w:spacing w:val="-1"/>
          <w:sz w:val="26"/>
          <w:szCs w:val="26"/>
        </w:rPr>
        <w:t>Межбюджетные трансферты перечисляются</w:t>
      </w:r>
      <w:r w:rsidRPr="00FA7FE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равными долями</w:t>
      </w:r>
      <w:r w:rsidRPr="00AA030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ежемесячно до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A0302">
        <w:rPr>
          <w:rFonts w:ascii="Times New Roman" w:eastAsia="Times New Roman" w:hAnsi="Times New Roman" w:cs="Times New Roman"/>
          <w:spacing w:val="-1"/>
          <w:sz w:val="26"/>
          <w:szCs w:val="26"/>
        </w:rPr>
        <w:t>15 числа текущего месяца.</w:t>
      </w:r>
      <w:r w:rsidR="00DD4FDC">
        <w:rPr>
          <w:rFonts w:ascii="Times New Roman" w:eastAsia="Times New Roman" w:hAnsi="Times New Roman" w:cs="Times New Roman"/>
          <w:spacing w:val="-1"/>
          <w:sz w:val="26"/>
          <w:szCs w:val="26"/>
        </w:rPr>
        <w:t>».</w:t>
      </w:r>
    </w:p>
    <w:p w:rsidR="008D7449" w:rsidRPr="000A4686" w:rsidRDefault="008D7449" w:rsidP="008D744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4686">
        <w:rPr>
          <w:rFonts w:ascii="Times New Roman" w:hAnsi="Times New Roman" w:cs="Times New Roman"/>
          <w:sz w:val="26"/>
          <w:szCs w:val="26"/>
        </w:rPr>
        <w:t>В статье 4 Соглашения слова и цифры «31 декабря 2021 года» заменить словами и цифрами «31 декабря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A4686">
        <w:rPr>
          <w:rFonts w:ascii="Times New Roman" w:hAnsi="Times New Roman" w:cs="Times New Roman"/>
          <w:sz w:val="26"/>
          <w:szCs w:val="26"/>
        </w:rPr>
        <w:t xml:space="preserve"> года».</w:t>
      </w:r>
    </w:p>
    <w:p w:rsidR="008D7449" w:rsidRPr="000A4686" w:rsidRDefault="008D7449" w:rsidP="008D7449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A4686">
        <w:rPr>
          <w:rFonts w:ascii="Times New Roman" w:hAnsi="Times New Roman" w:cs="Times New Roman"/>
          <w:sz w:val="26"/>
          <w:szCs w:val="26"/>
        </w:rPr>
        <w:t>Приложение к Соглашению изложить в новой редакции:</w:t>
      </w:r>
    </w:p>
    <w:p w:rsidR="008D7449" w:rsidRPr="00DD4FDC" w:rsidRDefault="008D7449" w:rsidP="008D7449">
      <w:pPr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514B4B">
        <w:rPr>
          <w:rFonts w:ascii="Times New Roman" w:hAnsi="Times New Roman" w:cs="Times New Roman"/>
          <w:sz w:val="26"/>
          <w:szCs w:val="26"/>
        </w:rPr>
        <w:t xml:space="preserve"> </w:t>
      </w:r>
      <w:r w:rsidRPr="00DD4FDC">
        <w:rPr>
          <w:rFonts w:ascii="Times New Roman" w:hAnsi="Times New Roman" w:cs="Times New Roman"/>
          <w:sz w:val="26"/>
          <w:szCs w:val="26"/>
        </w:rPr>
        <w:t xml:space="preserve">«Приложение </w:t>
      </w:r>
    </w:p>
    <w:p w:rsidR="008D7449" w:rsidRPr="00DD4FDC" w:rsidRDefault="008D7449" w:rsidP="008D7449">
      <w:pPr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8D7449" w:rsidRPr="00DD4FDC" w:rsidRDefault="008D7449" w:rsidP="008D7449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DC">
        <w:rPr>
          <w:rFonts w:ascii="Times New Roman" w:eastAsia="Times New Roman" w:hAnsi="Times New Roman" w:cs="Times New Roman"/>
          <w:sz w:val="26"/>
          <w:szCs w:val="26"/>
        </w:rPr>
        <w:t xml:space="preserve">     Размер межбюджетных трансфертов для осуществления Финансовым управлением полномочия, определяется как затраты по содержанию ставки главного специалиста:</w:t>
      </w:r>
    </w:p>
    <w:p w:rsidR="008D7449" w:rsidRPr="00DD4FDC" w:rsidRDefault="008D7449" w:rsidP="008D7449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DC">
        <w:rPr>
          <w:rFonts w:ascii="Times New Roman" w:eastAsia="Times New Roman" w:hAnsi="Times New Roman" w:cs="Times New Roman"/>
          <w:sz w:val="26"/>
          <w:szCs w:val="26"/>
        </w:rPr>
        <w:t>оплата труда в месяц 27606,96*12мес+м.п.,ед.выпл.к отп.22690,65)*1,302=460 874,37 руб.</w:t>
      </w:r>
    </w:p>
    <w:p w:rsidR="008D7449" w:rsidRPr="00DD4FDC" w:rsidRDefault="008D7449" w:rsidP="008D7449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DC">
        <w:rPr>
          <w:rFonts w:ascii="Times New Roman" w:eastAsia="Times New Roman" w:hAnsi="Times New Roman" w:cs="Times New Roman"/>
          <w:sz w:val="26"/>
          <w:szCs w:val="26"/>
        </w:rPr>
        <w:t xml:space="preserve">иные затраты (бумага, заправка картриджа)                                      5 126 руб. </w:t>
      </w:r>
    </w:p>
    <w:p w:rsidR="008D7449" w:rsidRPr="00DD4FDC" w:rsidRDefault="008D7449" w:rsidP="008D7449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DC">
        <w:rPr>
          <w:rFonts w:ascii="Times New Roman" w:eastAsia="Times New Roman" w:hAnsi="Times New Roman" w:cs="Times New Roman"/>
          <w:sz w:val="26"/>
          <w:szCs w:val="26"/>
        </w:rPr>
        <w:t xml:space="preserve">ИТОГО в год 466 000 руб. / 4 поселения = 116 500 руб. на 1 поселение </w:t>
      </w:r>
    </w:p>
    <w:p w:rsidR="008D7449" w:rsidRDefault="008D7449" w:rsidP="008D7449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FDC">
        <w:rPr>
          <w:rFonts w:ascii="Times New Roman" w:eastAsia="Times New Roman" w:hAnsi="Times New Roman" w:cs="Times New Roman"/>
          <w:sz w:val="26"/>
          <w:szCs w:val="26"/>
        </w:rPr>
        <w:t>116 500 руб. / 12 мес. = 9 708,33 руб. в месяц».</w:t>
      </w:r>
    </w:p>
    <w:p w:rsidR="00DD4FDC" w:rsidRDefault="00DD4FDC" w:rsidP="008D7449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4FDC" w:rsidRDefault="00DD4FDC" w:rsidP="008D7449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4FDC" w:rsidRDefault="00DD4FDC" w:rsidP="008D7449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4FDC" w:rsidRPr="00DD4FDC" w:rsidRDefault="00DD4FDC" w:rsidP="008D7449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7449" w:rsidRPr="00DD4FDC" w:rsidRDefault="008D7449" w:rsidP="008D744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4FDC">
        <w:rPr>
          <w:rFonts w:ascii="Times New Roman" w:hAnsi="Times New Roman" w:cs="Times New Roman"/>
          <w:sz w:val="26"/>
          <w:szCs w:val="26"/>
        </w:rPr>
        <w:lastRenderedPageBreak/>
        <w:t xml:space="preserve">Настоящее дополнительное  соглашение  составлено  в  двух  экземплярах, </w:t>
      </w:r>
    </w:p>
    <w:p w:rsidR="008D7449" w:rsidRPr="00DD4FDC" w:rsidRDefault="008D7449" w:rsidP="008D74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DD4FDC">
        <w:rPr>
          <w:rFonts w:ascii="Times New Roman" w:hAnsi="Times New Roman" w:cs="Times New Roman"/>
          <w:sz w:val="26"/>
          <w:szCs w:val="26"/>
        </w:rPr>
        <w:t xml:space="preserve">по одному для каждой из сторон, которые имеют одинаковую юридическую силу, являются неотъемлемой частью соглашения от 24 декабря 2020 года между Администрацией сельского поселения Чуровское и Финансовым управлением Шекснинского муниципального района о передаче части полномочий. </w:t>
      </w:r>
    </w:p>
    <w:p w:rsidR="008D7449" w:rsidRPr="00DD4FDC" w:rsidRDefault="008D7449" w:rsidP="008D7449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4FDC">
        <w:rPr>
          <w:rFonts w:ascii="Times New Roman" w:hAnsi="Times New Roman" w:cs="Times New Roman"/>
          <w:sz w:val="26"/>
          <w:szCs w:val="26"/>
        </w:rPr>
        <w:t>Стороны определили, что официальное опубликование настоящего дополнительного соглашения осуществляется за счет средств бюджета сельского поселения.</w:t>
      </w:r>
    </w:p>
    <w:p w:rsidR="008D7449" w:rsidRPr="00DD4FDC" w:rsidRDefault="008D7449" w:rsidP="008D74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8D7449" w:rsidRPr="00DD4FDC" w:rsidRDefault="008D7449" w:rsidP="008D74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2"/>
        <w:gridCol w:w="4688"/>
      </w:tblGrid>
      <w:tr w:rsidR="008D7449" w:rsidRPr="00DD4FDC" w:rsidTr="00995807">
        <w:trPr>
          <w:trHeight w:val="414"/>
        </w:trPr>
        <w:tc>
          <w:tcPr>
            <w:tcW w:w="4672" w:type="dxa"/>
          </w:tcPr>
          <w:p w:rsidR="008D7449" w:rsidRPr="00DD4FDC" w:rsidRDefault="008D7449" w:rsidP="00995807">
            <w:pPr>
              <w:shd w:val="clear" w:color="auto" w:fill="FFFFFF"/>
              <w:spacing w:before="100" w:beforeAutospacing="1" w:line="259" w:lineRule="exac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DD4FD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Финансовое управление               Шекснинского муниципального района</w:t>
            </w:r>
          </w:p>
          <w:p w:rsidR="008D7449" w:rsidRPr="00DD4FDC" w:rsidRDefault="008D7449" w:rsidP="009958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8" w:type="dxa"/>
          </w:tcPr>
          <w:p w:rsidR="008D7449" w:rsidRPr="00DD4FDC" w:rsidRDefault="008D7449" w:rsidP="008D7449">
            <w:pPr>
              <w:shd w:val="clear" w:color="auto" w:fill="FFFFFF"/>
              <w:tabs>
                <w:tab w:val="left" w:leader="underscore" w:pos="5438"/>
                <w:tab w:val="left" w:leader="underscore" w:pos="6806"/>
              </w:tabs>
              <w:spacing w:before="100" w:beforeAutospacing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D4FD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Администрация сельского </w:t>
            </w:r>
            <w:r w:rsidRPr="00DD4FDC">
              <w:rPr>
                <w:rFonts w:ascii="Times New Roman" w:hAnsi="Times New Roman" w:cs="Times New Roman"/>
                <w:sz w:val="26"/>
                <w:szCs w:val="26"/>
              </w:rPr>
              <w:t>поселения Чуровское</w:t>
            </w:r>
            <w:r w:rsidRPr="00DD4FD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8D7449" w:rsidRPr="00DD4FDC" w:rsidTr="00995807">
        <w:trPr>
          <w:trHeight w:val="219"/>
        </w:trPr>
        <w:tc>
          <w:tcPr>
            <w:tcW w:w="4672" w:type="dxa"/>
          </w:tcPr>
          <w:p w:rsidR="008D7449" w:rsidRPr="00DD4FDC" w:rsidRDefault="008D7449" w:rsidP="009958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688" w:type="dxa"/>
          </w:tcPr>
          <w:p w:rsidR="008D7449" w:rsidRPr="00DD4FDC" w:rsidRDefault="008D7449" w:rsidP="00995807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  <w:tr w:rsidR="008D7449" w:rsidRPr="00514B4B" w:rsidTr="00995807">
        <w:trPr>
          <w:trHeight w:val="1295"/>
        </w:trPr>
        <w:tc>
          <w:tcPr>
            <w:tcW w:w="4672" w:type="dxa"/>
          </w:tcPr>
          <w:p w:rsidR="008D7449" w:rsidRPr="00DD4FDC" w:rsidRDefault="008D7449" w:rsidP="00995807">
            <w:pPr>
              <w:shd w:val="clear" w:color="auto" w:fill="FFFFFF"/>
              <w:spacing w:before="100" w:beforeAutospacing="1" w:line="523" w:lineRule="exact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DD4FDC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Подписи сторон Соглашения: </w:t>
            </w:r>
          </w:p>
          <w:p w:rsidR="008D7449" w:rsidRPr="00DD4FDC" w:rsidRDefault="008D7449" w:rsidP="009958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DD4FDC"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управления</w:t>
            </w:r>
          </w:p>
          <w:p w:rsidR="008D7449" w:rsidRPr="00DD4FDC" w:rsidRDefault="008D7449" w:rsidP="009958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DD4FDC">
              <w:rPr>
                <w:rFonts w:ascii="Times New Roman" w:hAnsi="Times New Roman" w:cs="Times New Roman"/>
                <w:sz w:val="26"/>
                <w:szCs w:val="26"/>
              </w:rPr>
              <w:t>Шекснинского муниципального района</w:t>
            </w:r>
          </w:p>
          <w:p w:rsidR="008D7449" w:rsidRPr="00DD4FDC" w:rsidRDefault="008D7449" w:rsidP="009958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DD4FDC">
              <w:rPr>
                <w:rFonts w:ascii="Times New Roman" w:hAnsi="Times New Roman" w:cs="Times New Roman"/>
                <w:sz w:val="26"/>
                <w:szCs w:val="26"/>
              </w:rPr>
              <w:t>__________________ Е.И. Серебрякова</w:t>
            </w:r>
          </w:p>
          <w:p w:rsidR="008D7449" w:rsidRPr="00DD4FDC" w:rsidRDefault="008D7449" w:rsidP="00995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4FD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688" w:type="dxa"/>
          </w:tcPr>
          <w:p w:rsidR="008D7449" w:rsidRPr="00DD4FDC" w:rsidRDefault="008D7449" w:rsidP="00995807">
            <w:pPr>
              <w:shd w:val="clear" w:color="auto" w:fill="FFFFFF"/>
              <w:spacing w:before="100" w:beforeAutospacing="1" w:line="523" w:lineRule="exact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DD4FDC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Подписи сторон Соглашения: </w:t>
            </w:r>
          </w:p>
          <w:p w:rsidR="008D7449" w:rsidRPr="00DD4FDC" w:rsidRDefault="008D7449" w:rsidP="009958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DD4FDC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  <w:p w:rsidR="008D7449" w:rsidRPr="00DD4FDC" w:rsidRDefault="008D7449" w:rsidP="009958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DD4FDC">
              <w:rPr>
                <w:rFonts w:ascii="Times New Roman" w:hAnsi="Times New Roman" w:cs="Times New Roman"/>
                <w:sz w:val="26"/>
                <w:szCs w:val="26"/>
              </w:rPr>
              <w:t xml:space="preserve">Чуровское </w:t>
            </w:r>
          </w:p>
          <w:p w:rsidR="008D7449" w:rsidRPr="00DD4FDC" w:rsidRDefault="008D7449" w:rsidP="009958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DD4FDC">
              <w:rPr>
                <w:rFonts w:ascii="Times New Roman" w:hAnsi="Times New Roman" w:cs="Times New Roman"/>
                <w:sz w:val="26"/>
                <w:szCs w:val="26"/>
              </w:rPr>
              <w:t>_____________Т.Н. Быстрова</w:t>
            </w:r>
          </w:p>
          <w:p w:rsidR="008D7449" w:rsidRPr="00B428C5" w:rsidRDefault="008D7449" w:rsidP="00995807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DD4FD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8D7449" w:rsidRPr="00514B4B" w:rsidRDefault="008D7449" w:rsidP="008D7449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D7449" w:rsidRDefault="008D7449" w:rsidP="008D7449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D7449" w:rsidRDefault="008D7449" w:rsidP="008D7449">
      <w:pPr>
        <w:shd w:val="clear" w:color="auto" w:fill="FFFFFF"/>
        <w:tabs>
          <w:tab w:val="left" w:pos="432"/>
          <w:tab w:val="left" w:pos="9923"/>
        </w:tabs>
        <w:spacing w:line="259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8D7449" w:rsidRDefault="008D7449" w:rsidP="00E85142">
      <w:pPr>
        <w:shd w:val="clear" w:color="auto" w:fill="FFFFFF"/>
        <w:tabs>
          <w:tab w:val="left" w:pos="432"/>
          <w:tab w:val="left" w:pos="9923"/>
        </w:tabs>
        <w:spacing w:line="259" w:lineRule="exact"/>
        <w:jc w:val="both"/>
        <w:rPr>
          <w:rFonts w:ascii="Times New Roman" w:hAnsi="Times New Roman" w:cs="Times New Roman"/>
          <w:sz w:val="25"/>
          <w:szCs w:val="25"/>
        </w:rPr>
      </w:pPr>
    </w:p>
    <w:sectPr w:rsidR="008D7449" w:rsidSect="00984998">
      <w:pgSz w:w="11909" w:h="16834"/>
      <w:pgMar w:top="709" w:right="710" w:bottom="993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9A18FE"/>
    <w:lvl w:ilvl="0">
      <w:numFmt w:val="bullet"/>
      <w:lvlText w:val="*"/>
      <w:lvlJc w:val="left"/>
    </w:lvl>
  </w:abstractNum>
  <w:abstractNum w:abstractNumId="1">
    <w:nsid w:val="28765ED4"/>
    <w:multiLevelType w:val="hybridMultilevel"/>
    <w:tmpl w:val="299005EE"/>
    <w:lvl w:ilvl="0" w:tplc="6DB2A4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6C9"/>
    <w:rsid w:val="000127E0"/>
    <w:rsid w:val="000241C6"/>
    <w:rsid w:val="0004375C"/>
    <w:rsid w:val="00061859"/>
    <w:rsid w:val="00066236"/>
    <w:rsid w:val="00074420"/>
    <w:rsid w:val="000A27A3"/>
    <w:rsid w:val="000B60AE"/>
    <w:rsid w:val="000E2CDC"/>
    <w:rsid w:val="000E4CAF"/>
    <w:rsid w:val="0010767B"/>
    <w:rsid w:val="0013258C"/>
    <w:rsid w:val="0015723B"/>
    <w:rsid w:val="001657F2"/>
    <w:rsid w:val="001A3547"/>
    <w:rsid w:val="001D08C1"/>
    <w:rsid w:val="001D1B90"/>
    <w:rsid w:val="001D65B7"/>
    <w:rsid w:val="001E6DB1"/>
    <w:rsid w:val="001F2F63"/>
    <w:rsid w:val="00222B11"/>
    <w:rsid w:val="002366A3"/>
    <w:rsid w:val="00255211"/>
    <w:rsid w:val="00263238"/>
    <w:rsid w:val="00264232"/>
    <w:rsid w:val="002B1D37"/>
    <w:rsid w:val="002D5174"/>
    <w:rsid w:val="003066C9"/>
    <w:rsid w:val="003208B0"/>
    <w:rsid w:val="003257F8"/>
    <w:rsid w:val="003316B5"/>
    <w:rsid w:val="00336282"/>
    <w:rsid w:val="00351CF9"/>
    <w:rsid w:val="00362A58"/>
    <w:rsid w:val="003823E8"/>
    <w:rsid w:val="00397496"/>
    <w:rsid w:val="00397E38"/>
    <w:rsid w:val="003B0741"/>
    <w:rsid w:val="003D120F"/>
    <w:rsid w:val="003D3665"/>
    <w:rsid w:val="003E62DC"/>
    <w:rsid w:val="003F5C06"/>
    <w:rsid w:val="003F7905"/>
    <w:rsid w:val="00402080"/>
    <w:rsid w:val="0040355C"/>
    <w:rsid w:val="00451852"/>
    <w:rsid w:val="00452D99"/>
    <w:rsid w:val="00476C64"/>
    <w:rsid w:val="004853E1"/>
    <w:rsid w:val="0049290B"/>
    <w:rsid w:val="004D1A30"/>
    <w:rsid w:val="004E4F0E"/>
    <w:rsid w:val="004F620B"/>
    <w:rsid w:val="00503361"/>
    <w:rsid w:val="0052652F"/>
    <w:rsid w:val="00532DEF"/>
    <w:rsid w:val="00581664"/>
    <w:rsid w:val="00584061"/>
    <w:rsid w:val="005B15E0"/>
    <w:rsid w:val="005C17EF"/>
    <w:rsid w:val="005E1909"/>
    <w:rsid w:val="005E6A2D"/>
    <w:rsid w:val="00600CDD"/>
    <w:rsid w:val="0060225A"/>
    <w:rsid w:val="00607CA3"/>
    <w:rsid w:val="006407D6"/>
    <w:rsid w:val="00646960"/>
    <w:rsid w:val="006514E4"/>
    <w:rsid w:val="00676483"/>
    <w:rsid w:val="00681FF4"/>
    <w:rsid w:val="00693ABD"/>
    <w:rsid w:val="00693AC2"/>
    <w:rsid w:val="006A6E5F"/>
    <w:rsid w:val="006A73C9"/>
    <w:rsid w:val="006B7F40"/>
    <w:rsid w:val="006C2AA1"/>
    <w:rsid w:val="006D21A8"/>
    <w:rsid w:val="006F5060"/>
    <w:rsid w:val="00704A0C"/>
    <w:rsid w:val="00745EF1"/>
    <w:rsid w:val="00756118"/>
    <w:rsid w:val="007603D6"/>
    <w:rsid w:val="00760506"/>
    <w:rsid w:val="007C0499"/>
    <w:rsid w:val="007C66CD"/>
    <w:rsid w:val="007E2BB3"/>
    <w:rsid w:val="00801127"/>
    <w:rsid w:val="0086465B"/>
    <w:rsid w:val="008900B6"/>
    <w:rsid w:val="008954CC"/>
    <w:rsid w:val="008A6E83"/>
    <w:rsid w:val="008B13F5"/>
    <w:rsid w:val="008C0A68"/>
    <w:rsid w:val="008C2CD2"/>
    <w:rsid w:val="008D5147"/>
    <w:rsid w:val="008D7449"/>
    <w:rsid w:val="008E53E9"/>
    <w:rsid w:val="008E5849"/>
    <w:rsid w:val="008F0E66"/>
    <w:rsid w:val="008F7207"/>
    <w:rsid w:val="00901D95"/>
    <w:rsid w:val="009135F1"/>
    <w:rsid w:val="00916F1D"/>
    <w:rsid w:val="00937078"/>
    <w:rsid w:val="009371AB"/>
    <w:rsid w:val="0094266F"/>
    <w:rsid w:val="0095587E"/>
    <w:rsid w:val="0097397A"/>
    <w:rsid w:val="00984998"/>
    <w:rsid w:val="009C0071"/>
    <w:rsid w:val="009D2427"/>
    <w:rsid w:val="00A019A4"/>
    <w:rsid w:val="00A23CA2"/>
    <w:rsid w:val="00A556F5"/>
    <w:rsid w:val="00A635E7"/>
    <w:rsid w:val="00A67C8E"/>
    <w:rsid w:val="00A7738D"/>
    <w:rsid w:val="00A82E94"/>
    <w:rsid w:val="00AA18BD"/>
    <w:rsid w:val="00AA3991"/>
    <w:rsid w:val="00AB00AC"/>
    <w:rsid w:val="00AC35B3"/>
    <w:rsid w:val="00AC660E"/>
    <w:rsid w:val="00AD4CF8"/>
    <w:rsid w:val="00AE0783"/>
    <w:rsid w:val="00AF069D"/>
    <w:rsid w:val="00AF2982"/>
    <w:rsid w:val="00B04806"/>
    <w:rsid w:val="00B3012C"/>
    <w:rsid w:val="00B850CA"/>
    <w:rsid w:val="00BA42A0"/>
    <w:rsid w:val="00BD618E"/>
    <w:rsid w:val="00BE1567"/>
    <w:rsid w:val="00BE2F29"/>
    <w:rsid w:val="00C0364D"/>
    <w:rsid w:val="00C23AAE"/>
    <w:rsid w:val="00C3140C"/>
    <w:rsid w:val="00C34F13"/>
    <w:rsid w:val="00C900DA"/>
    <w:rsid w:val="00C94033"/>
    <w:rsid w:val="00CA5D1C"/>
    <w:rsid w:val="00CD6C11"/>
    <w:rsid w:val="00CD6E04"/>
    <w:rsid w:val="00D0151F"/>
    <w:rsid w:val="00D14D59"/>
    <w:rsid w:val="00D16E08"/>
    <w:rsid w:val="00D257EC"/>
    <w:rsid w:val="00D27441"/>
    <w:rsid w:val="00D37C5A"/>
    <w:rsid w:val="00D4239B"/>
    <w:rsid w:val="00D51E19"/>
    <w:rsid w:val="00D61BEB"/>
    <w:rsid w:val="00D9168A"/>
    <w:rsid w:val="00DB3086"/>
    <w:rsid w:val="00DB3DC1"/>
    <w:rsid w:val="00DD4FDC"/>
    <w:rsid w:val="00DE6652"/>
    <w:rsid w:val="00E05634"/>
    <w:rsid w:val="00E1443C"/>
    <w:rsid w:val="00E47DC7"/>
    <w:rsid w:val="00E543CB"/>
    <w:rsid w:val="00E66783"/>
    <w:rsid w:val="00E70E94"/>
    <w:rsid w:val="00E818DE"/>
    <w:rsid w:val="00E85142"/>
    <w:rsid w:val="00EA39E6"/>
    <w:rsid w:val="00EA5D4C"/>
    <w:rsid w:val="00EB2CBB"/>
    <w:rsid w:val="00ED166A"/>
    <w:rsid w:val="00EE0A0D"/>
    <w:rsid w:val="00EE7172"/>
    <w:rsid w:val="00F01AF2"/>
    <w:rsid w:val="00F2771D"/>
    <w:rsid w:val="00F437EE"/>
    <w:rsid w:val="00F64321"/>
    <w:rsid w:val="00F673A4"/>
    <w:rsid w:val="00FA317B"/>
    <w:rsid w:val="00FA4261"/>
    <w:rsid w:val="00FA5B76"/>
    <w:rsid w:val="00FB58F7"/>
    <w:rsid w:val="00FC5207"/>
    <w:rsid w:val="00FC5513"/>
    <w:rsid w:val="00FD1629"/>
    <w:rsid w:val="00FE5BD8"/>
    <w:rsid w:val="00FE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rsid w:val="00255211"/>
    <w:pPr>
      <w:widowControl/>
    </w:pPr>
    <w:rPr>
      <w:rFonts w:eastAsia="Times New Roman" w:cs="Times New Roman"/>
      <w:sz w:val="24"/>
      <w:szCs w:val="24"/>
    </w:rPr>
  </w:style>
  <w:style w:type="paragraph" w:customStyle="1" w:styleId="ConsPlusTitle">
    <w:name w:val="ConsPlusTitle"/>
    <w:rsid w:val="00D61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rsid w:val="00255211"/>
    <w:pPr>
      <w:widowControl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8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0F08-7EEA-4199-81FC-0133AEA9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</dc:creator>
  <cp:lastModifiedBy>RePack by Diakov</cp:lastModifiedBy>
  <cp:revision>2</cp:revision>
  <cp:lastPrinted>2020-12-21T07:45:00Z</cp:lastPrinted>
  <dcterms:created xsi:type="dcterms:W3CDTF">2021-12-24T10:26:00Z</dcterms:created>
  <dcterms:modified xsi:type="dcterms:W3CDTF">2021-12-24T10:26:00Z</dcterms:modified>
</cp:coreProperties>
</file>